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FD" w:rsidRDefault="000D50FD" w:rsidP="000D50FD">
      <w:pPr>
        <w:pStyle w:val="Titre3"/>
        <w:spacing w:before="0" w:beforeAutospacing="0" w:after="0" w:afterAutospacing="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Petit guide pour élaborer une séance </w:t>
      </w:r>
      <w:bookmarkStart w:id="0" w:name="_GoBack"/>
      <w:bookmarkEnd w:id="0"/>
    </w:p>
    <w:p w:rsidR="000D50FD" w:rsidRDefault="000D50FD" w:rsidP="000D50FD">
      <w:pPr>
        <w:pStyle w:val="Titre3"/>
        <w:spacing w:before="0" w:beforeAutospacing="0" w:after="0" w:afterAutospacing="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En synthèse :</w:t>
      </w:r>
    </w:p>
    <w:p w:rsidR="000D50FD" w:rsidRDefault="000D50FD" w:rsidP="000D50FD">
      <w:pPr>
        <w:pStyle w:val="Titre3"/>
        <w:spacing w:before="0" w:beforeAutospacing="0" w:after="0" w:afterAutospacing="0"/>
        <w:jc w:val="both"/>
        <w:rPr>
          <w:b w:val="0"/>
          <w:bCs w:val="0"/>
          <w:color w:val="231F20"/>
          <w:sz w:val="24"/>
          <w:szCs w:val="24"/>
        </w:rPr>
      </w:pPr>
    </w:p>
    <w:p w:rsidR="000D50FD" w:rsidRDefault="000D50FD" w:rsidP="000D50FD">
      <w:pPr>
        <w:pStyle w:val="Titre3"/>
        <w:spacing w:before="0" w:beforeAutospacing="0" w:after="0" w:afterAutospacing="0"/>
        <w:jc w:val="both"/>
        <w:rPr>
          <w:b w:val="0"/>
          <w:bCs w:val="0"/>
          <w:color w:val="231F20"/>
          <w:sz w:val="24"/>
          <w:szCs w:val="24"/>
        </w:rPr>
      </w:pPr>
      <w:r w:rsidRPr="001D0D22">
        <w:rPr>
          <w:bCs w:val="0"/>
          <w:color w:val="231F20"/>
          <w:sz w:val="24"/>
          <w:szCs w:val="24"/>
        </w:rPr>
        <w:t>O</w:t>
      </w:r>
      <w:r>
        <w:rPr>
          <w:bCs w:val="0"/>
          <w:color w:val="231F20"/>
          <w:sz w:val="24"/>
          <w:szCs w:val="24"/>
        </w:rPr>
        <w:t>bjectif</w:t>
      </w:r>
      <w:r>
        <w:rPr>
          <w:b w:val="0"/>
          <w:bCs w:val="0"/>
          <w:color w:val="231F20"/>
          <w:sz w:val="24"/>
          <w:szCs w:val="24"/>
        </w:rPr>
        <w:t xml:space="preserve"> : que vais-je viser ? Là vous avez ce que je nomme l’énigme de l’œuvre. Par exemple, pour reprendre l’exemple (vu en cours) des </w:t>
      </w:r>
      <w:r w:rsidRPr="000D50FD">
        <w:rPr>
          <w:b w:val="0"/>
          <w:bCs w:val="0"/>
          <w:i/>
          <w:color w:val="231F20"/>
          <w:sz w:val="24"/>
          <w:szCs w:val="24"/>
        </w:rPr>
        <w:t>Ménines</w:t>
      </w:r>
      <w:r>
        <w:rPr>
          <w:b w:val="0"/>
          <w:bCs w:val="0"/>
          <w:color w:val="231F20"/>
          <w:sz w:val="24"/>
          <w:szCs w:val="24"/>
        </w:rPr>
        <w:t> : découvrir que le tableau nous montre des « jeux de miroir(s) », des regards croisés…On peut s’amuser à changer la place : le tableau vu par l’</w:t>
      </w:r>
      <w:proofErr w:type="spellStart"/>
      <w:r>
        <w:rPr>
          <w:b w:val="0"/>
          <w:bCs w:val="0"/>
          <w:color w:val="231F20"/>
          <w:sz w:val="24"/>
          <w:szCs w:val="24"/>
        </w:rPr>
        <w:t>oeil</w:t>
      </w:r>
      <w:proofErr w:type="spellEnd"/>
      <w:r>
        <w:rPr>
          <w:b w:val="0"/>
          <w:bCs w:val="0"/>
          <w:color w:val="231F20"/>
          <w:sz w:val="24"/>
          <w:szCs w:val="24"/>
        </w:rPr>
        <w:t xml:space="preserve"> non plus du peintre, mais de celui qui est en train de se faire peindre.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</w:p>
    <w:p w:rsidR="000D50FD" w:rsidRPr="001D0D22" w:rsidRDefault="000D50FD" w:rsidP="000D50FD">
      <w:pPr>
        <w:pStyle w:val="Titre3"/>
        <w:numPr>
          <w:ilvl w:val="0"/>
          <w:numId w:val="1"/>
        </w:numPr>
        <w:spacing w:before="0" w:beforeAutospacing="0" w:after="0" w:afterAutospacing="0"/>
        <w:jc w:val="both"/>
        <w:rPr>
          <w:bCs w:val="0"/>
          <w:color w:val="231F20"/>
          <w:sz w:val="24"/>
          <w:szCs w:val="24"/>
        </w:rPr>
      </w:pPr>
      <w:r w:rsidRPr="001D0D22">
        <w:rPr>
          <w:bCs w:val="0"/>
          <w:color w:val="231F20"/>
          <w:sz w:val="24"/>
          <w:szCs w:val="24"/>
        </w:rPr>
        <w:t xml:space="preserve">Comment introduire, comment lancer l’activité 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Pensez à la dispo des élèves, grand groupe, petit groupe, individuel 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Pensez à alterner le « faire », l’activité, et le « dire sur »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Pour introduire : un bon moyen : le tri (de textes, ici d’images) : découverte de tableaux avec des jeux de miroir(s), et d’autres non. Elèves par petits groupes trient, puis comment avez-vous classé, qu’avez-vous remarqué ?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Puis </w:t>
      </w:r>
      <w:r>
        <w:rPr>
          <w:bCs w:val="0"/>
          <w:color w:val="231F20"/>
          <w:sz w:val="24"/>
          <w:szCs w:val="24"/>
        </w:rPr>
        <w:t xml:space="preserve">médiation (par enseignant) : l’usage d’un jeu de </w:t>
      </w:r>
      <w:proofErr w:type="spellStart"/>
      <w:proofErr w:type="gramStart"/>
      <w:r>
        <w:rPr>
          <w:bCs w:val="0"/>
          <w:color w:val="231F20"/>
          <w:sz w:val="24"/>
          <w:szCs w:val="24"/>
        </w:rPr>
        <w:t>miroi</w:t>
      </w:r>
      <w:proofErr w:type="spellEnd"/>
      <w:r>
        <w:rPr>
          <w:bCs w:val="0"/>
          <w:color w:val="231F20"/>
          <w:sz w:val="24"/>
          <w:szCs w:val="24"/>
        </w:rPr>
        <w:t xml:space="preserve"> ,</w:t>
      </w:r>
      <w:proofErr w:type="gramEnd"/>
      <w:r>
        <w:rPr>
          <w:bCs w:val="0"/>
          <w:color w:val="231F20"/>
          <w:sz w:val="24"/>
          <w:szCs w:val="24"/>
        </w:rPr>
        <w:t xml:space="preserve"> de renvoi : présentation du tableau de référence (</w:t>
      </w:r>
      <w:r w:rsidRPr="00862C9F">
        <w:rPr>
          <w:bCs w:val="0"/>
          <w:i/>
          <w:color w:val="231F20"/>
          <w:sz w:val="24"/>
          <w:szCs w:val="24"/>
        </w:rPr>
        <w:t>Ménines</w:t>
      </w:r>
      <w:r>
        <w:rPr>
          <w:bCs w:val="0"/>
          <w:color w:val="231F20"/>
          <w:sz w:val="24"/>
          <w:szCs w:val="24"/>
        </w:rPr>
        <w:t>)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Cs w:val="0"/>
          <w:color w:val="231F20"/>
          <w:sz w:val="24"/>
          <w:szCs w:val="24"/>
        </w:rPr>
      </w:pPr>
    </w:p>
    <w:p w:rsidR="000D50FD" w:rsidRDefault="000D50FD" w:rsidP="000D50FD">
      <w:pPr>
        <w:pStyle w:val="Titre3"/>
        <w:numPr>
          <w:ilvl w:val="0"/>
          <w:numId w:val="1"/>
        </w:numPr>
        <w:spacing w:before="0" w:beforeAutospacing="0" w:after="0" w:afterAutospacing="0"/>
        <w:jc w:val="both"/>
        <w:rPr>
          <w:bCs w:val="0"/>
          <w:color w:val="231F20"/>
          <w:sz w:val="24"/>
          <w:szCs w:val="24"/>
        </w:rPr>
      </w:pPr>
      <w:r>
        <w:rPr>
          <w:bCs w:val="0"/>
          <w:color w:val="231F20"/>
          <w:sz w:val="24"/>
          <w:szCs w:val="24"/>
        </w:rPr>
        <w:t>Comment allez-vous mettre élèves en activité, que leur proposez-vous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Toute séance, même en histoire des arts, ne saurait se limiter à un cours magistral. On copie sur le cahier ce que la maîtresse a dit. A l’inverse, les élèves n’apprennent et ne donnent sens que </w:t>
      </w:r>
      <w:proofErr w:type="gramStart"/>
      <w:r>
        <w:rPr>
          <w:b w:val="0"/>
          <w:bCs w:val="0"/>
          <w:color w:val="231F20"/>
          <w:sz w:val="24"/>
          <w:szCs w:val="24"/>
        </w:rPr>
        <w:t>s’il sont</w:t>
      </w:r>
      <w:proofErr w:type="gramEnd"/>
      <w:r>
        <w:rPr>
          <w:b w:val="0"/>
          <w:bCs w:val="0"/>
          <w:color w:val="231F20"/>
          <w:sz w:val="24"/>
          <w:szCs w:val="24"/>
        </w:rPr>
        <w:t xml:space="preserve"> dans une activité, avec une tâche à résoudre   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Par exemple, avec les </w:t>
      </w:r>
      <w:r w:rsidRPr="00862C9F">
        <w:rPr>
          <w:b w:val="0"/>
          <w:bCs w:val="0"/>
          <w:i/>
          <w:color w:val="231F20"/>
          <w:sz w:val="24"/>
          <w:szCs w:val="24"/>
        </w:rPr>
        <w:t>Ménines</w:t>
      </w:r>
      <w:r>
        <w:rPr>
          <w:b w:val="0"/>
          <w:bCs w:val="0"/>
          <w:color w:val="231F20"/>
          <w:sz w:val="24"/>
          <w:szCs w:val="24"/>
        </w:rPr>
        <w:t>, on pourrait s’amuser avec appareil photo à photographier celui qui vous photographies, à faire une mise en scène du tableau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i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On pourrait imaginer de mettre les élèves par groupes et leur demander de produire une image inspirée par les </w:t>
      </w:r>
      <w:r w:rsidRPr="00862C9F">
        <w:rPr>
          <w:b w:val="0"/>
          <w:bCs w:val="0"/>
          <w:i/>
          <w:color w:val="231F20"/>
          <w:sz w:val="24"/>
          <w:szCs w:val="24"/>
        </w:rPr>
        <w:t>ménines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i/>
          <w:color w:val="231F20"/>
          <w:sz w:val="24"/>
          <w:szCs w:val="24"/>
        </w:rPr>
      </w:pPr>
    </w:p>
    <w:p w:rsidR="000D50FD" w:rsidRPr="00862C9F" w:rsidRDefault="000D50FD" w:rsidP="000D50FD">
      <w:pPr>
        <w:pStyle w:val="Titre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231F20"/>
          <w:sz w:val="24"/>
          <w:szCs w:val="24"/>
        </w:rPr>
      </w:pPr>
      <w:r w:rsidRPr="00862C9F">
        <w:rPr>
          <w:bCs w:val="0"/>
          <w:color w:val="231F20"/>
          <w:sz w:val="24"/>
          <w:szCs w:val="24"/>
        </w:rPr>
        <w:t>Médiation</w:t>
      </w:r>
      <w:r>
        <w:rPr>
          <w:b w:val="0"/>
          <w:bCs w:val="0"/>
          <w:color w:val="231F20"/>
          <w:sz w:val="24"/>
          <w:szCs w:val="24"/>
        </w:rPr>
        <w:t xml:space="preserve"> 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 w:rsidRPr="00862C9F">
        <w:rPr>
          <w:b w:val="0"/>
          <w:bCs w:val="0"/>
          <w:i/>
          <w:color w:val="231F20"/>
          <w:sz w:val="24"/>
          <w:szCs w:val="24"/>
        </w:rPr>
        <w:t>Interne</w:t>
      </w:r>
      <w:r>
        <w:rPr>
          <w:b w:val="0"/>
          <w:bCs w:val="0"/>
          <w:color w:val="231F20"/>
          <w:sz w:val="24"/>
          <w:szCs w:val="24"/>
        </w:rPr>
        <w:t> :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Bilan général de l’activité, poursuite (après le miroir, on pourrait travailler  sur…)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 w:rsidRPr="00862C9F">
        <w:rPr>
          <w:b w:val="0"/>
          <w:bCs w:val="0"/>
          <w:i/>
          <w:color w:val="231F20"/>
          <w:sz w:val="24"/>
          <w:szCs w:val="24"/>
        </w:rPr>
        <w:t>Externe</w:t>
      </w:r>
      <w:r>
        <w:rPr>
          <w:b w:val="0"/>
          <w:bCs w:val="0"/>
          <w:color w:val="231F20"/>
          <w:sz w:val="24"/>
          <w:szCs w:val="24"/>
        </w:rPr>
        <w:t xml:space="preserve"> : 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Ouverture sur des </w:t>
      </w:r>
      <w:proofErr w:type="spellStart"/>
      <w:r>
        <w:rPr>
          <w:b w:val="0"/>
          <w:bCs w:val="0"/>
          <w:color w:val="231F20"/>
          <w:sz w:val="24"/>
          <w:szCs w:val="24"/>
        </w:rPr>
        <w:t>oeuvres</w:t>
      </w:r>
      <w:proofErr w:type="spellEnd"/>
      <w:r>
        <w:rPr>
          <w:b w:val="0"/>
          <w:bCs w:val="0"/>
          <w:color w:val="231F20"/>
          <w:sz w:val="24"/>
          <w:szCs w:val="24"/>
        </w:rPr>
        <w:t xml:space="preserve"> proches des </w:t>
      </w:r>
      <w:r w:rsidRPr="00862C9F">
        <w:rPr>
          <w:b w:val="0"/>
          <w:bCs w:val="0"/>
          <w:i/>
          <w:color w:val="231F20"/>
          <w:sz w:val="24"/>
          <w:szCs w:val="24"/>
        </w:rPr>
        <w:t>Ménines</w:t>
      </w:r>
    </w:p>
    <w:p w:rsidR="000D50FD" w:rsidRDefault="000D50FD" w:rsidP="000D50FD">
      <w:pPr>
        <w:pStyle w:val="Titre3"/>
        <w:spacing w:before="0" w:beforeAutospacing="0" w:after="0" w:afterAutospacing="0"/>
        <w:ind w:left="720"/>
        <w:jc w:val="both"/>
        <w:rPr>
          <w:b w:val="0"/>
          <w:bCs w:val="0"/>
          <w:color w:val="231F20"/>
          <w:sz w:val="24"/>
          <w:szCs w:val="24"/>
        </w:rPr>
      </w:pPr>
    </w:p>
    <w:p w:rsidR="000D50FD" w:rsidRDefault="000D50FD" w:rsidP="000D50FD">
      <w:pPr>
        <w:pStyle w:val="Titre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231F20"/>
          <w:sz w:val="24"/>
          <w:szCs w:val="24"/>
        </w:rPr>
      </w:pPr>
      <w:r w:rsidRPr="00862C9F">
        <w:rPr>
          <w:bCs w:val="0"/>
          <w:color w:val="231F20"/>
          <w:sz w:val="24"/>
          <w:szCs w:val="24"/>
        </w:rPr>
        <w:t>Evaluation</w:t>
      </w:r>
      <w:r>
        <w:rPr>
          <w:b w:val="0"/>
          <w:bCs w:val="0"/>
          <w:color w:val="231F20"/>
          <w:sz w:val="24"/>
          <w:szCs w:val="24"/>
        </w:rPr>
        <w:t> :</w:t>
      </w:r>
    </w:p>
    <w:p w:rsidR="000D50FD" w:rsidRDefault="000D50FD" w:rsidP="000D50FD">
      <w:pPr>
        <w:pStyle w:val="Titre3"/>
        <w:spacing w:before="0" w:beforeAutospacing="0" w:after="0" w:afterAutospacing="0"/>
        <w:ind w:left="360"/>
        <w:jc w:val="both"/>
        <w:rPr>
          <w:b w:val="0"/>
          <w:bCs w:val="0"/>
          <w:color w:val="231F20"/>
          <w:sz w:val="24"/>
          <w:szCs w:val="24"/>
        </w:rPr>
      </w:pPr>
      <w:r w:rsidRPr="00862C9F">
        <w:rPr>
          <w:b w:val="0"/>
          <w:bCs w:val="0"/>
          <w:i/>
          <w:color w:val="231F20"/>
          <w:sz w:val="24"/>
          <w:szCs w:val="24"/>
        </w:rPr>
        <w:t>Orale</w:t>
      </w:r>
      <w:r>
        <w:rPr>
          <w:b w:val="0"/>
          <w:bCs w:val="0"/>
          <w:color w:val="231F20"/>
          <w:sz w:val="24"/>
          <w:szCs w:val="24"/>
        </w:rPr>
        <w:t xml:space="preserve"> : </w:t>
      </w:r>
    </w:p>
    <w:p w:rsidR="000D50FD" w:rsidRDefault="000D50FD" w:rsidP="000D50FD">
      <w:pPr>
        <w:pStyle w:val="Titre3"/>
        <w:spacing w:before="0" w:beforeAutospacing="0" w:after="0" w:afterAutospacing="0"/>
        <w:ind w:left="36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Qu’avons –nous appris/découvert ? </w:t>
      </w:r>
    </w:p>
    <w:p w:rsidR="000D50FD" w:rsidRDefault="000D50FD" w:rsidP="000D50FD">
      <w:pPr>
        <w:pStyle w:val="Titre3"/>
        <w:spacing w:before="0" w:beforeAutospacing="0" w:after="0" w:afterAutospacing="0"/>
        <w:ind w:left="360"/>
        <w:jc w:val="both"/>
        <w:rPr>
          <w:b w:val="0"/>
          <w:bCs w:val="0"/>
          <w:color w:val="231F20"/>
          <w:sz w:val="24"/>
          <w:szCs w:val="24"/>
        </w:rPr>
      </w:pPr>
      <w:r w:rsidRPr="00862C9F">
        <w:rPr>
          <w:b w:val="0"/>
          <w:bCs w:val="0"/>
          <w:i/>
          <w:color w:val="231F20"/>
          <w:sz w:val="24"/>
          <w:szCs w:val="24"/>
        </w:rPr>
        <w:t>Ecrite</w:t>
      </w:r>
    </w:p>
    <w:p w:rsidR="000D50FD" w:rsidRDefault="000D50FD" w:rsidP="000D50FD">
      <w:pPr>
        <w:pStyle w:val="Titre3"/>
        <w:spacing w:before="0" w:beforeAutospacing="0" w:after="0" w:afterAutospacing="0"/>
        <w:ind w:left="360"/>
        <w:jc w:val="both"/>
        <w:rPr>
          <w:b w:val="0"/>
          <w:bCs w:val="0"/>
          <w:color w:val="231F2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 xml:space="preserve">Travail individuel… </w:t>
      </w:r>
    </w:p>
    <w:p w:rsidR="007C3FB0" w:rsidRDefault="007C3FB0" w:rsidP="000D50FD">
      <w:pPr>
        <w:jc w:val="both"/>
      </w:pPr>
    </w:p>
    <w:sectPr w:rsidR="007C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7165"/>
    <w:multiLevelType w:val="hybridMultilevel"/>
    <w:tmpl w:val="602262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FD"/>
    <w:rsid w:val="000D50FD"/>
    <w:rsid w:val="007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D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D50FD"/>
    <w:rPr>
      <w:rFonts w:ascii="Times New Roman" w:eastAsia="Times New Roman" w:hAnsi="Times New Roman" w:cs="Times New Roman"/>
      <w:b/>
      <w:bCs/>
      <w:color w:val="000000"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D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D50FD"/>
    <w:rPr>
      <w:rFonts w:ascii="Times New Roman" w:eastAsia="Times New Roman" w:hAnsi="Times New Roman" w:cs="Times New Roman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Boudinet</dc:creator>
  <cp:lastModifiedBy>Gilles Boudinet</cp:lastModifiedBy>
  <cp:revision>1</cp:revision>
  <dcterms:created xsi:type="dcterms:W3CDTF">2020-01-06T19:45:00Z</dcterms:created>
  <dcterms:modified xsi:type="dcterms:W3CDTF">2020-01-06T19:46:00Z</dcterms:modified>
</cp:coreProperties>
</file>